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8D52CB" w:rsidP="003D035A">
      <w:pPr>
        <w:rPr>
          <w:rFonts w:ascii="Arial" w:hAnsi="Arial" w:cs="Arial"/>
          <w:sz w:val="22"/>
          <w:szCs w:val="22"/>
          <w:lang w:val="en-GB"/>
        </w:rPr>
      </w:pPr>
      <w:r>
        <w:rPr>
          <w:rFonts w:ascii="Arial" w:hAnsi="Arial" w:cs="Arial"/>
          <w:sz w:val="22"/>
          <w:szCs w:val="22"/>
          <w:lang w:val="en-GB"/>
        </w:rPr>
        <w:t>02</w:t>
      </w:r>
      <w:r w:rsidRPr="008D52CB">
        <w:rPr>
          <w:rFonts w:ascii="Arial" w:hAnsi="Arial" w:cs="Arial"/>
          <w:sz w:val="22"/>
          <w:szCs w:val="22"/>
          <w:vertAlign w:val="superscript"/>
          <w:lang w:val="en-GB"/>
        </w:rPr>
        <w:t>nd</w:t>
      </w:r>
      <w:r>
        <w:rPr>
          <w:rFonts w:ascii="Arial" w:hAnsi="Arial" w:cs="Arial"/>
          <w:sz w:val="22"/>
          <w:szCs w:val="22"/>
          <w:lang w:val="en-GB"/>
        </w:rPr>
        <w:t xml:space="preserve"> April</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8D52CB" w:rsidRPr="008D52CB" w:rsidRDefault="008D52CB" w:rsidP="008D52CB">
      <w:pPr>
        <w:rPr>
          <w:rFonts w:ascii="Arial" w:hAnsi="Arial" w:cs="Arial"/>
          <w:b/>
          <w:sz w:val="22"/>
          <w:szCs w:val="22"/>
          <w:lang w:val="en-GB"/>
        </w:rPr>
      </w:pPr>
      <w:r w:rsidRPr="008D52CB">
        <w:rPr>
          <w:rFonts w:ascii="Arial" w:hAnsi="Arial" w:cs="Arial"/>
          <w:b/>
          <w:sz w:val="22"/>
          <w:szCs w:val="22"/>
          <w:lang w:val="en-GB"/>
        </w:rPr>
        <w:t>FIA WTCR Kicks-off with the Race of Morocco at the weekend</w:t>
      </w:r>
    </w:p>
    <w:p w:rsidR="00ED64D8" w:rsidRPr="00DC7CC8" w:rsidRDefault="00ED64D8" w:rsidP="00ED64D8">
      <w:pPr>
        <w:pStyle w:val="Default"/>
        <w:rPr>
          <w:lang w:val="en-GB"/>
        </w:rPr>
      </w:pPr>
    </w:p>
    <w:p w:rsidR="008D52CB" w:rsidRDefault="008D52CB" w:rsidP="008D52CB">
      <w:pPr>
        <w:rPr>
          <w:rFonts w:ascii="Arial" w:hAnsi="Arial" w:cs="Arial"/>
          <w:sz w:val="22"/>
          <w:szCs w:val="22"/>
          <w:lang w:val="en-GB"/>
        </w:rPr>
      </w:pPr>
      <w:r w:rsidRPr="008D52CB">
        <w:rPr>
          <w:rFonts w:ascii="Arial" w:hAnsi="Arial" w:cs="Arial"/>
          <w:sz w:val="22"/>
          <w:szCs w:val="22"/>
          <w:lang w:val="en-GB"/>
        </w:rPr>
        <w:t>The 2019 WTCR – FIA World Touring Car Cup which has the Japanese premium tyre manufacturer YOKOHAMA as exclusive tyre supplier has attracted a high-level entry with 26 all-season racers set for battle from this weekend’s curtain-raiser in Morocco to the super-finale in Malaysia in mid-December.</w:t>
      </w:r>
    </w:p>
    <w:p w:rsidR="008D52CB" w:rsidRPr="008D52CB" w:rsidRDefault="008D52CB" w:rsidP="008D52CB">
      <w:pPr>
        <w:rPr>
          <w:rFonts w:ascii="Arial" w:hAnsi="Arial" w:cs="Arial"/>
          <w:sz w:val="22"/>
          <w:szCs w:val="22"/>
          <w:lang w:val="en-GB"/>
        </w:rPr>
      </w:pPr>
    </w:p>
    <w:p w:rsidR="008D52CB" w:rsidRPr="008D52CB" w:rsidRDefault="008D52CB" w:rsidP="008D52CB">
      <w:pPr>
        <w:rPr>
          <w:rFonts w:ascii="Arial" w:hAnsi="Arial" w:cs="Arial"/>
          <w:sz w:val="22"/>
          <w:szCs w:val="22"/>
          <w:lang w:val="en-GB"/>
        </w:rPr>
      </w:pPr>
      <w:r w:rsidRPr="008D52CB">
        <w:rPr>
          <w:rFonts w:ascii="Arial" w:hAnsi="Arial" w:cs="Arial"/>
          <w:sz w:val="22"/>
          <w:szCs w:val="22"/>
          <w:lang w:val="en-GB"/>
        </w:rPr>
        <w:t xml:space="preserve">Headed by the 2018 WTCR title winner, Italian veteran Gabriele </w:t>
      </w:r>
      <w:proofErr w:type="spellStart"/>
      <w:r w:rsidRPr="008D52CB">
        <w:rPr>
          <w:rFonts w:ascii="Arial" w:hAnsi="Arial" w:cs="Arial"/>
          <w:sz w:val="22"/>
          <w:szCs w:val="22"/>
          <w:lang w:val="en-GB"/>
        </w:rPr>
        <w:t>Tarquini</w:t>
      </w:r>
      <w:proofErr w:type="spellEnd"/>
      <w:r w:rsidRPr="008D52CB">
        <w:rPr>
          <w:rFonts w:ascii="Arial" w:hAnsi="Arial" w:cs="Arial"/>
          <w:sz w:val="22"/>
          <w:szCs w:val="22"/>
          <w:lang w:val="en-GB"/>
        </w:rPr>
        <w:t>, the entry consists of 13 teams representing seven customer racing brands and nine new drivers to WTCR.</w:t>
      </w:r>
    </w:p>
    <w:p w:rsidR="008D52CB" w:rsidRDefault="008D52CB" w:rsidP="008D52CB">
      <w:pPr>
        <w:rPr>
          <w:rFonts w:ascii="Arial" w:hAnsi="Arial" w:cs="Arial"/>
          <w:sz w:val="22"/>
          <w:szCs w:val="22"/>
          <w:lang w:val="en-GB"/>
        </w:rPr>
      </w:pPr>
    </w:p>
    <w:p w:rsidR="008D52CB" w:rsidRDefault="008D52CB" w:rsidP="008D52CB">
      <w:pPr>
        <w:rPr>
          <w:rFonts w:ascii="Arial" w:hAnsi="Arial" w:cs="Arial"/>
          <w:sz w:val="22"/>
          <w:szCs w:val="22"/>
          <w:lang w:val="en-GB"/>
        </w:rPr>
      </w:pPr>
      <w:r w:rsidRPr="008D52CB">
        <w:rPr>
          <w:rFonts w:ascii="Arial" w:hAnsi="Arial" w:cs="Arial"/>
          <w:sz w:val="22"/>
          <w:szCs w:val="22"/>
          <w:lang w:val="en-GB"/>
        </w:rPr>
        <w:t>On the list are seven FIA world title winners and 12 drivers who claimed race victories in last season’s WTCR glory chase. A total of 43 major titles have been won by the 26 season-long racers, while the flags of 14 different countries will be flown.</w:t>
      </w:r>
    </w:p>
    <w:p w:rsidR="008D52CB" w:rsidRPr="008D52CB" w:rsidRDefault="008D52CB" w:rsidP="008D52CB">
      <w:pPr>
        <w:rPr>
          <w:rFonts w:ascii="Arial" w:hAnsi="Arial" w:cs="Arial"/>
          <w:sz w:val="22"/>
          <w:szCs w:val="22"/>
          <w:lang w:val="en-GB"/>
        </w:rPr>
      </w:pPr>
    </w:p>
    <w:p w:rsidR="008D52CB" w:rsidRPr="008D52CB" w:rsidRDefault="008D52CB" w:rsidP="008D52CB">
      <w:pPr>
        <w:rPr>
          <w:rFonts w:ascii="Arial" w:hAnsi="Arial" w:cs="Arial"/>
          <w:sz w:val="22"/>
          <w:szCs w:val="22"/>
          <w:lang w:val="en-GB"/>
        </w:rPr>
      </w:pPr>
      <w:r w:rsidRPr="008D52CB">
        <w:rPr>
          <w:rFonts w:ascii="Arial" w:hAnsi="Arial" w:cs="Arial"/>
          <w:sz w:val="22"/>
          <w:szCs w:val="22"/>
          <w:lang w:val="en-GB"/>
        </w:rPr>
        <w:t xml:space="preserve">According to the WTCR promoter, “The variety of cars, the level of customer teams, the </w:t>
      </w:r>
      <w:proofErr w:type="gramStart"/>
      <w:r w:rsidRPr="008D52CB">
        <w:rPr>
          <w:rFonts w:ascii="Arial" w:hAnsi="Arial" w:cs="Arial"/>
          <w:sz w:val="22"/>
          <w:szCs w:val="22"/>
          <w:lang w:val="en-GB"/>
        </w:rPr>
        <w:t>amount</w:t>
      </w:r>
      <w:proofErr w:type="gramEnd"/>
      <w:r w:rsidRPr="008D52CB">
        <w:rPr>
          <w:rFonts w:ascii="Arial" w:hAnsi="Arial" w:cs="Arial"/>
          <w:sz w:val="22"/>
          <w:szCs w:val="22"/>
          <w:lang w:val="en-GB"/>
        </w:rPr>
        <w:t xml:space="preserve"> of champions, the mix of generations of drivers and the spread of forces across the field will make WTCR a unique flagship for the entire global TCR category. The #WTCR2019SUPERGRID is probably the best international touring car entry list we have seen in decades, certainly a level above 2018. I expect nothing else than 20 cars within one second in qualifying, fights at every level in all 30 races, plus one great champion crowned in Malaysia on 15 December.” said Francois Ribeiro of Eurosport Events.</w:t>
      </w:r>
    </w:p>
    <w:p w:rsidR="008D52CB" w:rsidRDefault="008D52CB" w:rsidP="008D52CB">
      <w:pPr>
        <w:rPr>
          <w:rFonts w:ascii="Arial" w:hAnsi="Arial" w:cs="Arial"/>
          <w:sz w:val="22"/>
          <w:szCs w:val="22"/>
          <w:lang w:val="en-GB"/>
        </w:rPr>
      </w:pPr>
    </w:p>
    <w:p w:rsidR="008D52CB" w:rsidRPr="008D52CB" w:rsidRDefault="008D52CB" w:rsidP="008D52CB">
      <w:pPr>
        <w:rPr>
          <w:rFonts w:ascii="Arial" w:hAnsi="Arial" w:cs="Arial"/>
          <w:color w:val="FF0000"/>
          <w:sz w:val="22"/>
          <w:szCs w:val="22"/>
          <w:lang w:val="en-GB"/>
        </w:rPr>
      </w:pPr>
      <w:r w:rsidRPr="008D52CB">
        <w:rPr>
          <w:rFonts w:ascii="Arial" w:hAnsi="Arial" w:cs="Arial"/>
          <w:sz w:val="22"/>
          <w:szCs w:val="22"/>
          <w:lang w:val="en-GB"/>
        </w:rPr>
        <w:t>For its part, a spokesman for YOKOHAMA Europe expressed excitement with the upcoming races and wished all the competitors the best of luck.  “Our Motorsport support team is ready to assist with the technical knowledge and we wish all the teams and drivers a successful season. Our aim is to continue working closely with all professional drivers and offer them, the expertise acquired over the years, to guarantee high performance at top level competition as well as ensuring the safety of competitors.” He added.</w:t>
      </w:r>
    </w:p>
    <w:p w:rsidR="008D52CB" w:rsidRDefault="008D52CB" w:rsidP="008D52CB">
      <w:pPr>
        <w:rPr>
          <w:rFonts w:ascii="Arial" w:hAnsi="Arial" w:cs="Arial"/>
          <w:sz w:val="22"/>
          <w:szCs w:val="22"/>
          <w:lang w:val="en-GB"/>
        </w:rPr>
      </w:pPr>
    </w:p>
    <w:p w:rsidR="008D52CB" w:rsidRPr="008D52CB" w:rsidRDefault="008D52CB" w:rsidP="008D52CB">
      <w:pPr>
        <w:rPr>
          <w:rFonts w:ascii="Arial" w:hAnsi="Arial" w:cs="Arial"/>
          <w:sz w:val="22"/>
          <w:szCs w:val="22"/>
          <w:lang w:val="en-GB"/>
        </w:rPr>
      </w:pPr>
      <w:r w:rsidRPr="008D52CB">
        <w:rPr>
          <w:rFonts w:ascii="Arial" w:hAnsi="Arial" w:cs="Arial"/>
          <w:sz w:val="22"/>
          <w:szCs w:val="22"/>
          <w:lang w:val="en-GB"/>
        </w:rPr>
        <w:t>In addition to the all-season entries, wildcards to a maximum of six will be permitted at selected events, albeit subject to track and pitlane capacity. The WTCR Race of Morocco hosts the start of the 2019 season in Marrakech from 5-7 April.</w:t>
      </w:r>
    </w:p>
    <w:p w:rsidR="008D52CB" w:rsidRDefault="008D52CB" w:rsidP="008D52CB">
      <w:pPr>
        <w:pStyle w:val="KeinLeerraum"/>
        <w:rPr>
          <w:rFonts w:ascii="Arial" w:hAnsi="Arial" w:cs="Arial"/>
          <w:b/>
        </w:rPr>
      </w:pPr>
    </w:p>
    <w:p w:rsidR="008D52CB" w:rsidRPr="008D52CB" w:rsidRDefault="008D52CB" w:rsidP="008D52CB">
      <w:pPr>
        <w:pStyle w:val="KeinLeerraum"/>
        <w:rPr>
          <w:rFonts w:ascii="Arial" w:hAnsi="Arial" w:cs="Arial"/>
          <w:b/>
        </w:rPr>
      </w:pPr>
      <w:r w:rsidRPr="008D52CB">
        <w:rPr>
          <w:rFonts w:ascii="Arial" w:hAnsi="Arial" w:cs="Arial"/>
          <w:b/>
        </w:rPr>
        <w:t>2019 Calendar</w:t>
      </w:r>
    </w:p>
    <w:p w:rsidR="008D52CB" w:rsidRPr="008D52CB" w:rsidRDefault="008D52CB" w:rsidP="008D52CB">
      <w:pPr>
        <w:pStyle w:val="KeinLeerraum"/>
        <w:rPr>
          <w:rFonts w:ascii="Arial" w:hAnsi="Arial" w:cs="Arial"/>
        </w:rPr>
      </w:pPr>
      <w:r w:rsidRPr="008D52CB">
        <w:rPr>
          <w:rFonts w:ascii="Arial" w:hAnsi="Arial" w:cs="Arial"/>
        </w:rPr>
        <w:t>Marrakech – Morocco 7/4</w:t>
      </w:r>
    </w:p>
    <w:p w:rsidR="008D52CB" w:rsidRPr="008D52CB" w:rsidRDefault="008D52CB" w:rsidP="008D52CB">
      <w:pPr>
        <w:pStyle w:val="KeinLeerraum"/>
        <w:rPr>
          <w:rFonts w:ascii="Arial" w:hAnsi="Arial" w:cs="Arial"/>
        </w:rPr>
      </w:pPr>
      <w:proofErr w:type="spellStart"/>
      <w:r w:rsidRPr="008D52CB">
        <w:rPr>
          <w:rFonts w:ascii="Arial" w:hAnsi="Arial" w:cs="Arial"/>
        </w:rPr>
        <w:t>Hungaroring</w:t>
      </w:r>
      <w:proofErr w:type="spellEnd"/>
      <w:r w:rsidRPr="008D52CB">
        <w:rPr>
          <w:rFonts w:ascii="Arial" w:hAnsi="Arial" w:cs="Arial"/>
        </w:rPr>
        <w:t xml:space="preserve"> – Hungary 28/4</w:t>
      </w:r>
    </w:p>
    <w:p w:rsidR="008D52CB" w:rsidRPr="008D52CB" w:rsidRDefault="008D52CB" w:rsidP="008D52CB">
      <w:pPr>
        <w:pStyle w:val="KeinLeerraum"/>
        <w:rPr>
          <w:rFonts w:ascii="Arial" w:hAnsi="Arial" w:cs="Arial"/>
        </w:rPr>
      </w:pPr>
      <w:proofErr w:type="spellStart"/>
      <w:r w:rsidRPr="008D52CB">
        <w:rPr>
          <w:rFonts w:ascii="Arial" w:hAnsi="Arial" w:cs="Arial"/>
        </w:rPr>
        <w:t>Slovakiaring</w:t>
      </w:r>
      <w:proofErr w:type="spellEnd"/>
      <w:r w:rsidRPr="008D52CB">
        <w:rPr>
          <w:rFonts w:ascii="Arial" w:hAnsi="Arial" w:cs="Arial"/>
        </w:rPr>
        <w:t xml:space="preserve"> – Slovakia 12/5</w:t>
      </w:r>
    </w:p>
    <w:p w:rsidR="008D52CB" w:rsidRPr="008D52CB" w:rsidRDefault="008D52CB" w:rsidP="008D52CB">
      <w:pPr>
        <w:pStyle w:val="KeinLeerraum"/>
        <w:rPr>
          <w:rFonts w:ascii="Arial" w:hAnsi="Arial" w:cs="Arial"/>
        </w:rPr>
      </w:pPr>
      <w:proofErr w:type="spellStart"/>
      <w:r w:rsidRPr="008D52CB">
        <w:rPr>
          <w:rFonts w:ascii="Arial" w:hAnsi="Arial" w:cs="Arial"/>
        </w:rPr>
        <w:t>Zaandvoort</w:t>
      </w:r>
      <w:proofErr w:type="spellEnd"/>
      <w:r w:rsidRPr="008D52CB">
        <w:rPr>
          <w:rFonts w:ascii="Arial" w:hAnsi="Arial" w:cs="Arial"/>
        </w:rPr>
        <w:t xml:space="preserve"> – Netherlands 19/5</w:t>
      </w:r>
    </w:p>
    <w:p w:rsidR="008D52CB" w:rsidRPr="008D52CB" w:rsidRDefault="008D52CB" w:rsidP="008D52CB">
      <w:pPr>
        <w:pStyle w:val="KeinLeerraum"/>
        <w:rPr>
          <w:rFonts w:ascii="Arial" w:hAnsi="Arial" w:cs="Arial"/>
        </w:rPr>
      </w:pPr>
      <w:r w:rsidRPr="008D52CB">
        <w:rPr>
          <w:rFonts w:ascii="Arial" w:hAnsi="Arial" w:cs="Arial"/>
        </w:rPr>
        <w:t>Nürburgring – Germany 22/6</w:t>
      </w:r>
    </w:p>
    <w:p w:rsidR="008D52CB" w:rsidRPr="008D52CB" w:rsidRDefault="008D52CB" w:rsidP="008D52CB">
      <w:pPr>
        <w:pStyle w:val="KeinLeerraum"/>
        <w:rPr>
          <w:rFonts w:ascii="Arial" w:hAnsi="Arial" w:cs="Arial"/>
        </w:rPr>
      </w:pPr>
      <w:r w:rsidRPr="008D52CB">
        <w:rPr>
          <w:rFonts w:ascii="Arial" w:hAnsi="Arial" w:cs="Arial"/>
        </w:rPr>
        <w:t>Vila Real – Portugal 7/7</w:t>
      </w:r>
    </w:p>
    <w:p w:rsidR="008D52CB" w:rsidRPr="008D52CB" w:rsidRDefault="008D52CB" w:rsidP="008D52CB">
      <w:pPr>
        <w:pStyle w:val="KeinLeerraum"/>
        <w:rPr>
          <w:rFonts w:ascii="Arial" w:hAnsi="Arial" w:cs="Arial"/>
        </w:rPr>
      </w:pPr>
      <w:r w:rsidRPr="008D52CB">
        <w:rPr>
          <w:rFonts w:ascii="Arial" w:hAnsi="Arial" w:cs="Arial"/>
        </w:rPr>
        <w:t>Ningbo – China 15/9</w:t>
      </w:r>
    </w:p>
    <w:p w:rsidR="008D52CB" w:rsidRPr="008D52CB" w:rsidRDefault="008D52CB" w:rsidP="008D52CB">
      <w:pPr>
        <w:pStyle w:val="KeinLeerraum"/>
        <w:rPr>
          <w:rFonts w:ascii="Arial" w:hAnsi="Arial" w:cs="Arial"/>
        </w:rPr>
      </w:pPr>
      <w:proofErr w:type="spellStart"/>
      <w:r w:rsidRPr="008D52CB">
        <w:rPr>
          <w:rFonts w:ascii="Arial" w:hAnsi="Arial" w:cs="Arial"/>
        </w:rPr>
        <w:t>Suzuka</w:t>
      </w:r>
      <w:proofErr w:type="spellEnd"/>
      <w:r w:rsidRPr="008D52CB">
        <w:rPr>
          <w:rFonts w:ascii="Arial" w:hAnsi="Arial" w:cs="Arial"/>
        </w:rPr>
        <w:t xml:space="preserve"> – Japan 27/10</w:t>
      </w:r>
    </w:p>
    <w:p w:rsidR="008D52CB" w:rsidRPr="008D52CB" w:rsidRDefault="008D52CB" w:rsidP="008D52CB">
      <w:pPr>
        <w:pStyle w:val="KeinLeerraum"/>
        <w:rPr>
          <w:rFonts w:ascii="Arial" w:hAnsi="Arial" w:cs="Arial"/>
        </w:rPr>
      </w:pPr>
      <w:r w:rsidRPr="008D52CB">
        <w:rPr>
          <w:rFonts w:ascii="Arial" w:hAnsi="Arial" w:cs="Arial"/>
        </w:rPr>
        <w:t>Macau – China 17/11</w:t>
      </w:r>
    </w:p>
    <w:p w:rsidR="008D52CB" w:rsidRPr="008D52CB" w:rsidRDefault="008D52CB" w:rsidP="008D52CB">
      <w:pPr>
        <w:pStyle w:val="KeinLeerraum"/>
        <w:rPr>
          <w:rFonts w:ascii="Arial" w:hAnsi="Arial" w:cs="Arial"/>
        </w:rPr>
      </w:pPr>
      <w:r w:rsidRPr="008D52CB">
        <w:rPr>
          <w:rFonts w:ascii="Arial" w:hAnsi="Arial" w:cs="Arial"/>
        </w:rPr>
        <w:t>Sepang – Malaysia 15/12</w:t>
      </w:r>
    </w:p>
    <w:p w:rsidR="008D52CB" w:rsidRDefault="008D52CB" w:rsidP="008D52CB">
      <w:pPr>
        <w:pStyle w:val="KeinLeerraum"/>
        <w:rPr>
          <w:rFonts w:ascii="Arial" w:hAnsi="Arial" w:cs="Arial"/>
        </w:rPr>
      </w:pPr>
    </w:p>
    <w:p w:rsidR="00C869B8" w:rsidRDefault="00C869B8" w:rsidP="008D52CB">
      <w:pPr>
        <w:pStyle w:val="KeinLeerraum"/>
        <w:rPr>
          <w:rFonts w:ascii="Arial" w:hAnsi="Arial" w:cs="Arial"/>
        </w:rPr>
      </w:pPr>
    </w:p>
    <w:p w:rsidR="00C869B8" w:rsidRDefault="00C869B8" w:rsidP="008D52CB">
      <w:pPr>
        <w:pStyle w:val="KeinLeerraum"/>
        <w:rPr>
          <w:rFonts w:ascii="Arial" w:hAnsi="Arial" w:cs="Arial"/>
        </w:rPr>
      </w:pPr>
    </w:p>
    <w:p w:rsidR="00C869B8" w:rsidRDefault="00C869B8" w:rsidP="008D52CB">
      <w:pPr>
        <w:pStyle w:val="KeinLeerraum"/>
        <w:rPr>
          <w:rFonts w:ascii="Arial" w:hAnsi="Arial" w:cs="Arial"/>
        </w:rPr>
      </w:pPr>
    </w:p>
    <w:p w:rsidR="00C869B8" w:rsidRDefault="00C869B8" w:rsidP="008D52CB">
      <w:pPr>
        <w:pStyle w:val="KeinLeerraum"/>
        <w:rPr>
          <w:rFonts w:ascii="Arial" w:hAnsi="Arial" w:cs="Arial"/>
        </w:rPr>
      </w:pPr>
    </w:p>
    <w:p w:rsidR="00C869B8" w:rsidRDefault="00C869B8" w:rsidP="008D52CB">
      <w:pPr>
        <w:pStyle w:val="KeinLeerraum"/>
        <w:rPr>
          <w:rFonts w:ascii="Arial" w:hAnsi="Arial" w:cs="Arial"/>
        </w:rPr>
      </w:pPr>
    </w:p>
    <w:p w:rsidR="00C869B8" w:rsidRDefault="00C869B8" w:rsidP="008D52CB">
      <w:pPr>
        <w:pStyle w:val="KeinLeerraum"/>
        <w:rPr>
          <w:rFonts w:ascii="Arial" w:hAnsi="Arial" w:cs="Arial"/>
        </w:rPr>
      </w:pPr>
    </w:p>
    <w:p w:rsidR="00C869B8" w:rsidRDefault="00C869B8" w:rsidP="008D52CB">
      <w:pPr>
        <w:pStyle w:val="KeinLeerraum"/>
        <w:rPr>
          <w:rFonts w:ascii="Arial" w:hAnsi="Arial" w:cs="Arial"/>
        </w:rPr>
      </w:pPr>
    </w:p>
    <w:p w:rsidR="00C869B8" w:rsidRDefault="00C869B8" w:rsidP="008D52CB">
      <w:pPr>
        <w:pStyle w:val="KeinLeerraum"/>
        <w:rPr>
          <w:rFonts w:ascii="Arial" w:hAnsi="Arial" w:cs="Arial"/>
        </w:rPr>
      </w:pPr>
    </w:p>
    <w:p w:rsidR="00C869B8" w:rsidRPr="008D52CB" w:rsidRDefault="00C869B8" w:rsidP="008D52CB">
      <w:pPr>
        <w:pStyle w:val="KeinLeerraum"/>
        <w:rPr>
          <w:rFonts w:ascii="Arial" w:hAnsi="Arial" w:cs="Arial"/>
        </w:rPr>
      </w:pPr>
    </w:p>
    <w:p w:rsidR="00444C90" w:rsidRDefault="00C869B8" w:rsidP="00C869B8">
      <w:pPr>
        <w:jc w:val="center"/>
        <w:rPr>
          <w:rFonts w:ascii="Arial" w:hAnsi="Arial" w:cs="Arial"/>
          <w:i/>
          <w:sz w:val="16"/>
          <w:szCs w:val="16"/>
          <w:lang w:val="en-GB"/>
        </w:rPr>
      </w:pPr>
      <w:r>
        <w:rPr>
          <w:noProof/>
        </w:rPr>
        <w:drawing>
          <wp:anchor distT="0" distB="0" distL="114300" distR="114300" simplePos="0" relativeHeight="251657728" behindDoc="1" locked="0" layoutInCell="1" allowOverlap="1" wp14:anchorId="7BFDE5BE">
            <wp:simplePos x="0" y="0"/>
            <wp:positionH relativeFrom="column">
              <wp:posOffset>-4445</wp:posOffset>
            </wp:positionH>
            <wp:positionV relativeFrom="paragraph">
              <wp:posOffset>182245</wp:posOffset>
            </wp:positionV>
            <wp:extent cx="5761990" cy="3841750"/>
            <wp:effectExtent l="0" t="0" r="0" b="0"/>
            <wp:wrapTight wrapText="bothSides">
              <wp:wrapPolygon edited="0">
                <wp:start x="0" y="0"/>
                <wp:lineTo x="0" y="21529"/>
                <wp:lineTo x="21495" y="21529"/>
                <wp:lineTo x="2149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1990" cy="3841750"/>
                    </a:xfrm>
                    <a:prstGeom prst="rect">
                      <a:avLst/>
                    </a:prstGeom>
                  </pic:spPr>
                </pic:pic>
              </a:graphicData>
            </a:graphic>
            <wp14:sizeRelH relativeFrom="margin">
              <wp14:pctWidth>0</wp14:pctWidth>
            </wp14:sizeRelH>
            <wp14:sizeRelV relativeFrom="margin">
              <wp14:pctHeight>0</wp14:pctHeight>
            </wp14:sizeRelV>
          </wp:anchor>
        </w:drawing>
      </w:r>
    </w:p>
    <w:p w:rsidR="00C869B8" w:rsidRDefault="00C869B8" w:rsidP="00C869B8">
      <w:pPr>
        <w:jc w:val="center"/>
        <w:rPr>
          <w:rFonts w:ascii="Arial" w:hAnsi="Arial" w:cs="Arial"/>
          <w:i/>
          <w:sz w:val="16"/>
          <w:szCs w:val="16"/>
          <w:lang w:val="en-GB"/>
        </w:rPr>
      </w:pPr>
      <w:r w:rsidRPr="00C869B8">
        <w:rPr>
          <w:rFonts w:ascii="Arial" w:hAnsi="Arial" w:cs="Arial"/>
          <w:i/>
          <w:sz w:val="16"/>
          <w:szCs w:val="16"/>
          <w:lang w:val="en-GB"/>
        </w:rPr>
        <w:t>Gabriele-</w:t>
      </w:r>
      <w:proofErr w:type="spellStart"/>
      <w:r w:rsidRPr="00C869B8">
        <w:rPr>
          <w:rFonts w:ascii="Arial" w:hAnsi="Arial" w:cs="Arial"/>
          <w:i/>
          <w:sz w:val="16"/>
          <w:szCs w:val="16"/>
          <w:lang w:val="en-GB"/>
        </w:rPr>
        <w:t>Tarquini</w:t>
      </w:r>
      <w:proofErr w:type="spellEnd"/>
      <w:r w:rsidRPr="00C869B8">
        <w:rPr>
          <w:rFonts w:ascii="Arial" w:hAnsi="Arial" w:cs="Arial"/>
          <w:i/>
          <w:sz w:val="16"/>
          <w:szCs w:val="16"/>
          <w:lang w:val="en-GB"/>
        </w:rPr>
        <w:t xml:space="preserve"> at the recent test in Barcelona</w:t>
      </w:r>
    </w:p>
    <w:p w:rsidR="00C869B8" w:rsidRDefault="00C869B8" w:rsidP="00C869B8">
      <w:pPr>
        <w:jc w:val="center"/>
        <w:rPr>
          <w:rFonts w:ascii="Arial" w:hAnsi="Arial" w:cs="Arial"/>
          <w:i/>
          <w:sz w:val="16"/>
          <w:szCs w:val="16"/>
          <w:lang w:val="en-GB"/>
        </w:rPr>
      </w:pPr>
    </w:p>
    <w:p w:rsidR="00C869B8" w:rsidRDefault="00C869B8" w:rsidP="00C869B8">
      <w:pPr>
        <w:jc w:val="center"/>
        <w:rPr>
          <w:rFonts w:ascii="Arial" w:hAnsi="Arial" w:cs="Arial"/>
          <w:i/>
          <w:sz w:val="16"/>
          <w:szCs w:val="16"/>
          <w:lang w:val="en-GB"/>
        </w:rPr>
      </w:pPr>
      <w:r>
        <w:rPr>
          <w:noProof/>
        </w:rPr>
        <w:drawing>
          <wp:anchor distT="0" distB="0" distL="114300" distR="114300" simplePos="0" relativeHeight="251659776" behindDoc="1" locked="0" layoutInCell="1" allowOverlap="1" wp14:anchorId="41AFABF4">
            <wp:simplePos x="0" y="0"/>
            <wp:positionH relativeFrom="column">
              <wp:posOffset>14605</wp:posOffset>
            </wp:positionH>
            <wp:positionV relativeFrom="paragraph">
              <wp:posOffset>219075</wp:posOffset>
            </wp:positionV>
            <wp:extent cx="5728970" cy="3819525"/>
            <wp:effectExtent l="0" t="0" r="0" b="0"/>
            <wp:wrapTight wrapText="bothSides">
              <wp:wrapPolygon edited="0">
                <wp:start x="0" y="0"/>
                <wp:lineTo x="0" y="21438"/>
                <wp:lineTo x="21547" y="21438"/>
                <wp:lineTo x="2154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28970" cy="3819525"/>
                    </a:xfrm>
                    <a:prstGeom prst="rect">
                      <a:avLst/>
                    </a:prstGeom>
                  </pic:spPr>
                </pic:pic>
              </a:graphicData>
            </a:graphic>
          </wp:anchor>
        </w:drawing>
      </w:r>
    </w:p>
    <w:p w:rsidR="00C869B8" w:rsidRDefault="00C869B8" w:rsidP="00C869B8">
      <w:pPr>
        <w:jc w:val="center"/>
        <w:rPr>
          <w:rFonts w:ascii="Arial" w:hAnsi="Arial" w:cs="Arial"/>
          <w:i/>
          <w:sz w:val="16"/>
          <w:szCs w:val="16"/>
          <w:lang w:val="en-GB"/>
        </w:rPr>
      </w:pPr>
      <w:r w:rsidRPr="00C869B8">
        <w:rPr>
          <w:rFonts w:ascii="Arial" w:hAnsi="Arial" w:cs="Arial"/>
          <w:i/>
          <w:sz w:val="16"/>
          <w:szCs w:val="16"/>
          <w:lang w:val="en-GB"/>
        </w:rPr>
        <w:t xml:space="preserve">FIA WTCR Drivers ready for new season Photo </w:t>
      </w:r>
      <w:proofErr w:type="spellStart"/>
      <w:proofErr w:type="gramStart"/>
      <w:r w:rsidRPr="00C869B8">
        <w:rPr>
          <w:rFonts w:ascii="Arial" w:hAnsi="Arial" w:cs="Arial"/>
          <w:i/>
          <w:sz w:val="16"/>
          <w:szCs w:val="16"/>
          <w:lang w:val="en-GB"/>
        </w:rPr>
        <w:t>F.Lefloch</w:t>
      </w:r>
      <w:proofErr w:type="spellEnd"/>
      <w:proofErr w:type="gramEnd"/>
    </w:p>
    <w:p w:rsidR="00C869B8" w:rsidRPr="00C869B8" w:rsidRDefault="00C869B8" w:rsidP="00C869B8">
      <w:pPr>
        <w:rPr>
          <w:rFonts w:ascii="Arial" w:hAnsi="Arial" w:cs="Arial"/>
          <w:i/>
          <w:sz w:val="16"/>
          <w:szCs w:val="16"/>
          <w:lang w:val="en-GB"/>
        </w:rPr>
      </w:pPr>
      <w:bookmarkStart w:id="0" w:name="_GoBack"/>
      <w:bookmarkEnd w:id="0"/>
    </w:p>
    <w:sectPr w:rsidR="00C869B8" w:rsidRPr="00C869B8"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C869B8"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C869B8">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2CB"/>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869B8"/>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B9A8DEB"/>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2165</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2019-04-03T11:54:00Z</dcterms:created>
  <dcterms:modified xsi:type="dcterms:W3CDTF">2019-04-03T12:02:00Z</dcterms:modified>
</cp:coreProperties>
</file>